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строительства и жилищно-коммунального хозяйства администрации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DE5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dmitr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.ru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215B60" w:rsidRDefault="000C0E1A" w:rsidP="000C0E1A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t>ПРОЕКТ</w:t>
      </w:r>
    </w:p>
    <w:p w:rsidR="000C0E1A" w:rsidRPr="00E06CDF" w:rsidRDefault="000C0E1A" w:rsidP="000C0E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на 2022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 Дмитровского района,  администрация Дмитровского района постановляет:</w:t>
      </w:r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10101"/>
          <w:sz w:val="28"/>
          <w:szCs w:val="28"/>
        </w:rPr>
        <w:t>на 2022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Котова С.С.</w:t>
      </w:r>
    </w:p>
    <w:p w:rsidR="000C0E1A" w:rsidRPr="007D4B8C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                  С. А. Козин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120F6" w:rsidRP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жилищного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A97898" w:rsidRPr="00A97898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 городском поселении Дмитровск Дмитровского  района  </w:t>
      </w:r>
      <w:r w:rsidR="00A97898" w:rsidRPr="00A978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A9789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2022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отделом архитектуры,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градо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строительства и жилищно-коммунального хозяйства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осуществляющие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комитета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жилищно-коммунальному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27.09.2003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170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06.05.2011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21.01.2006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25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помещениями»;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13.08.2006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491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изменения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случае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перерывами,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превышающими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установленную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продолжительность»;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03.04.2013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15.05.2013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416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в городском поселении 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Анализ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оценка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состояния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ключевыми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частью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статьи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162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именно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(бездействия)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действующими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договорных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количества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совершаемых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A97898" w:rsidRPr="00A97898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 городского поселения Дмитровск Дмитровского  района  </w:t>
      </w:r>
      <w:r w:rsidR="0023220E"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Орловской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660"/>
        <w:gridCol w:w="228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градо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строительства и ЖКХ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16-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97 </w:t>
            </w:r>
            <w:hyperlink r:id="rId6" w:history="1">
              <w:r w:rsidR="00442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dmitr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orel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A978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  городского поселения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Дмитровск Дмитровского 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A97898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7898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2022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A97898" w:rsidRPr="00A97898">
        <w:rPr>
          <w:rFonts w:ascii="Times New Roman" w:hAnsi="Times New Roman" w:cs="Times New Roman"/>
          <w:b/>
          <w:color w:val="010101"/>
          <w:sz w:val="28"/>
          <w:szCs w:val="28"/>
        </w:rPr>
        <w:t>городского поселения Дмитровск</w:t>
      </w:r>
      <w:r w:rsidR="0023220E" w:rsidRPr="00A9789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4428B3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строительства и ЖКХ администрации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120F6"/>
    <w:rsid w:val="000C0E1A"/>
    <w:rsid w:val="00121341"/>
    <w:rsid w:val="0023220E"/>
    <w:rsid w:val="002453A7"/>
    <w:rsid w:val="00325C6C"/>
    <w:rsid w:val="00363776"/>
    <w:rsid w:val="004428B3"/>
    <w:rsid w:val="005D6C0D"/>
    <w:rsid w:val="005F1F9F"/>
    <w:rsid w:val="0066062C"/>
    <w:rsid w:val="006C2EF3"/>
    <w:rsid w:val="00714BDE"/>
    <w:rsid w:val="007F64D6"/>
    <w:rsid w:val="008A1955"/>
    <w:rsid w:val="008A5466"/>
    <w:rsid w:val="008E3569"/>
    <w:rsid w:val="00995745"/>
    <w:rsid w:val="00A97898"/>
    <w:rsid w:val="00B72F0A"/>
    <w:rsid w:val="00C23556"/>
    <w:rsid w:val="00C2458D"/>
    <w:rsid w:val="00D07220"/>
    <w:rsid w:val="00D120F6"/>
    <w:rsid w:val="00DB12C3"/>
    <w:rsid w:val="00DC04B8"/>
    <w:rsid w:val="00DC73DF"/>
    <w:rsid w:val="00DE5F7F"/>
    <w:rsid w:val="00E24044"/>
    <w:rsid w:val="00ED3F17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72E9-69A0-48BB-A65F-26E56110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2021-09-30T12:43:00Z</cp:lastPrinted>
  <dcterms:created xsi:type="dcterms:W3CDTF">2021-09-30T12:01:00Z</dcterms:created>
  <dcterms:modified xsi:type="dcterms:W3CDTF">2021-09-30T12:44:00Z</dcterms:modified>
</cp:coreProperties>
</file>